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B13D602" w:rsidR="00207251" w:rsidRPr="0034768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347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 w:rsidRPr="0034768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E2355E" w:rsidRPr="00347681">
        <w:rPr>
          <w:rFonts w:ascii="Times New Roman" w:eastAsia="Times New Roman" w:hAnsi="Times New Roman" w:cs="Times New Roman"/>
          <w:sz w:val="28"/>
          <w:szCs w:val="28"/>
          <w:lang w:val="ru-RU"/>
        </w:rPr>
        <w:t>91</w:t>
      </w:r>
    </w:p>
    <w:p w14:paraId="3108AE26" w14:textId="77777777" w:rsidR="00207251" w:rsidRPr="00347681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347681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34768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34768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3476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34768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347681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34768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34768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347681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2FDA6E91" w:rsidR="00003600" w:rsidRPr="00347681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</w:t>
      </w:r>
      <w:r w:rsidR="00E2355E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власність 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нам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Шевяковій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Юлії Миколаївні,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Шевякову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Вадиму Сергійовичу та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Шевяковій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Вєсні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Сергіївні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</w:t>
      </w:r>
      <w:r w:rsidR="003E575F" w:rsidRPr="00347681">
        <w:rPr>
          <w:rFonts w:ascii="Times New Roman" w:hAnsi="Times New Roman" w:cs="Times New Roman"/>
          <w:sz w:val="28"/>
          <w:szCs w:val="28"/>
        </w:rPr>
        <w:t>4810136</w:t>
      </w:r>
      <w:r w:rsidR="00106D6B" w:rsidRPr="003476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E575F" w:rsidRPr="00347681">
        <w:rPr>
          <w:rFonts w:ascii="Times New Roman" w:hAnsi="Times New Roman" w:cs="Times New Roman"/>
          <w:sz w:val="28"/>
          <w:szCs w:val="28"/>
        </w:rPr>
        <w:t>00:0</w:t>
      </w:r>
      <w:r w:rsidR="00106D6B" w:rsidRPr="003476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575F" w:rsidRPr="00347681">
        <w:rPr>
          <w:rFonts w:ascii="Times New Roman" w:hAnsi="Times New Roman" w:cs="Times New Roman"/>
          <w:sz w:val="28"/>
          <w:szCs w:val="28"/>
        </w:rPr>
        <w:t>:0</w:t>
      </w:r>
      <w:r w:rsidR="00106D6B" w:rsidRPr="00347681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3E575F" w:rsidRPr="00347681">
        <w:rPr>
          <w:rFonts w:ascii="Times New Roman" w:hAnsi="Times New Roman" w:cs="Times New Roman"/>
          <w:sz w:val="28"/>
          <w:szCs w:val="28"/>
        </w:rPr>
        <w:t>:00</w:t>
      </w:r>
      <w:r w:rsidR="00106D6B" w:rsidRPr="0034768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3E575F" w:rsidRPr="00347681">
        <w:rPr>
          <w:rFonts w:ascii="Times New Roman" w:eastAsia="Times New Roman" w:hAnsi="Times New Roman" w:cs="Times New Roman"/>
          <w:sz w:val="28"/>
          <w:szCs w:val="28"/>
        </w:rPr>
        <w:t>по пров.</w:t>
      </w:r>
      <w:r w:rsidR="004129E6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Михайла Артеменка, 67А (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. Нахімова)</w:t>
      </w:r>
      <w:r w:rsidR="003E575F" w:rsidRPr="00347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9E6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E575F" w:rsidRPr="00347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3E575F" w:rsidRPr="00347681">
        <w:rPr>
          <w:rFonts w:ascii="Times New Roman" w:hAnsi="Times New Roman" w:cs="Times New Roman"/>
          <w:sz w:val="28"/>
          <w:szCs w:val="28"/>
        </w:rPr>
        <w:t xml:space="preserve"> районі </w:t>
      </w:r>
      <w:r w:rsidRPr="00347681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43F2A697" w14:textId="77777777" w:rsidR="00C267DD" w:rsidRPr="00347681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FF42426" w:rsidR="002D57D6" w:rsidRPr="00347681" w:rsidRDefault="00A20D91" w:rsidP="0026649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Шевякової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Юлії Миколаївни,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Шевякова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Вадима Сергійовича та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Шевякової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Вєсни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Сергіївни</w:t>
      </w:r>
      <w:r w:rsidR="00A21050" w:rsidRPr="00347681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347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347681">
        <w:rPr>
          <w:rFonts w:ascii="Times New Roman" w:hAnsi="Times New Roman" w:cs="Times New Roman"/>
          <w:sz w:val="28"/>
          <w:szCs w:val="28"/>
        </w:rPr>
        <w:t>від</w:t>
      </w:r>
      <w:r w:rsidR="001B4A73" w:rsidRPr="0034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06D6B" w:rsidRPr="0034768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1B4A73" w:rsidRPr="00347681">
        <w:rPr>
          <w:rFonts w:ascii="Times New Roman" w:hAnsi="Times New Roman" w:cs="Times New Roman"/>
          <w:sz w:val="28"/>
          <w:szCs w:val="28"/>
        </w:rPr>
        <w:t>.10.2024</w:t>
      </w:r>
      <w:r w:rsidR="001B4A73" w:rsidRPr="0034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347681">
        <w:rPr>
          <w:rFonts w:ascii="Times New Roman" w:hAnsi="Times New Roman" w:cs="Times New Roman"/>
          <w:sz w:val="28"/>
          <w:szCs w:val="28"/>
        </w:rPr>
        <w:t>№ 19.04-06/</w:t>
      </w:r>
      <w:r w:rsidR="00106D6B" w:rsidRPr="00347681">
        <w:rPr>
          <w:rFonts w:ascii="Times New Roman" w:hAnsi="Times New Roman" w:cs="Times New Roman"/>
          <w:sz w:val="28"/>
          <w:szCs w:val="28"/>
          <w:lang w:val="uk-UA"/>
        </w:rPr>
        <w:t>37276</w:t>
      </w:r>
      <w:r w:rsidR="001B4A73" w:rsidRPr="00347681">
        <w:rPr>
          <w:rFonts w:ascii="Times New Roman" w:hAnsi="Times New Roman" w:cs="Times New Roman"/>
          <w:sz w:val="28"/>
          <w:szCs w:val="28"/>
        </w:rPr>
        <w:t>/2024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47681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47681" w:rsidRDefault="00A20D91" w:rsidP="0026649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47681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4E68EBCE" w:rsidR="00003600" w:rsidRPr="00347681" w:rsidRDefault="00003600" w:rsidP="0026649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87069378"/>
      <w:bookmarkStart w:id="4" w:name="_page_23_0"/>
      <w:bookmarkEnd w:id="0"/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у спільну сумісну власність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площею 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783</w:t>
      </w:r>
      <w:r w:rsidR="001B4A73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06D6B" w:rsidRPr="00347681">
        <w:rPr>
          <w:rFonts w:ascii="Times New Roman" w:hAnsi="Times New Roman" w:cs="Times New Roman"/>
          <w:sz w:val="28"/>
          <w:szCs w:val="28"/>
        </w:rPr>
        <w:t>4810136</w:t>
      </w:r>
      <w:r w:rsidR="00106D6B" w:rsidRPr="003476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06D6B" w:rsidRPr="00347681">
        <w:rPr>
          <w:rFonts w:ascii="Times New Roman" w:hAnsi="Times New Roman" w:cs="Times New Roman"/>
          <w:sz w:val="28"/>
          <w:szCs w:val="28"/>
        </w:rPr>
        <w:t>00:0</w:t>
      </w:r>
      <w:r w:rsidR="00106D6B" w:rsidRPr="003476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06D6B" w:rsidRPr="00347681">
        <w:rPr>
          <w:rFonts w:ascii="Times New Roman" w:hAnsi="Times New Roman" w:cs="Times New Roman"/>
          <w:sz w:val="28"/>
          <w:szCs w:val="28"/>
        </w:rPr>
        <w:t>:0</w:t>
      </w:r>
      <w:r w:rsidR="00106D6B" w:rsidRPr="00347681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106D6B" w:rsidRPr="00347681">
        <w:rPr>
          <w:rFonts w:ascii="Times New Roman" w:hAnsi="Times New Roman" w:cs="Times New Roman"/>
          <w:sz w:val="28"/>
          <w:szCs w:val="28"/>
        </w:rPr>
        <w:t>:00</w:t>
      </w:r>
      <w:r w:rsidR="00106D6B" w:rsidRPr="0034768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по 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</w:rPr>
        <w:t>пров.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Михайла Артеменка, 67А (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. Нахімова)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106D6B" w:rsidRPr="00347681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06D6B" w:rsidRPr="00347681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6D9AC062" w:rsidR="00003600" w:rsidRPr="00347681" w:rsidRDefault="00003600" w:rsidP="0026649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87069335"/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Шевяковій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Юлії Миколаївні,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Шевякову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Вадиму Сергійовичу та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Шевяковій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Вєсні</w:t>
      </w:r>
      <w:proofErr w:type="spellEnd"/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Сергіївні</w:t>
      </w:r>
      <w:r w:rsidR="001B4A73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</w:t>
      </w:r>
      <w:r w:rsidR="00106D6B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спільну сумісну власність 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002119" w:rsidRPr="00347681">
        <w:rPr>
          <w:rFonts w:ascii="Times New Roman" w:hAnsi="Times New Roman" w:cs="Times New Roman"/>
          <w:sz w:val="28"/>
          <w:szCs w:val="28"/>
        </w:rPr>
        <w:t>4810136</w:t>
      </w:r>
      <w:r w:rsidR="00002119" w:rsidRPr="003476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02119" w:rsidRPr="00347681">
        <w:rPr>
          <w:rFonts w:ascii="Times New Roman" w:hAnsi="Times New Roman" w:cs="Times New Roman"/>
          <w:sz w:val="28"/>
          <w:szCs w:val="28"/>
        </w:rPr>
        <w:t>00:0</w:t>
      </w:r>
      <w:r w:rsidR="00002119" w:rsidRPr="003476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02119" w:rsidRPr="00347681">
        <w:rPr>
          <w:rFonts w:ascii="Times New Roman" w:hAnsi="Times New Roman" w:cs="Times New Roman"/>
          <w:sz w:val="28"/>
          <w:szCs w:val="28"/>
        </w:rPr>
        <w:t>:0</w:t>
      </w:r>
      <w:r w:rsidR="00002119" w:rsidRPr="00347681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002119" w:rsidRPr="00347681">
        <w:rPr>
          <w:rFonts w:ascii="Times New Roman" w:hAnsi="Times New Roman" w:cs="Times New Roman"/>
          <w:sz w:val="28"/>
          <w:szCs w:val="28"/>
        </w:rPr>
        <w:t>:00</w:t>
      </w:r>
      <w:r w:rsidR="00002119" w:rsidRPr="0034768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00211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783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житлового будинку, господарських будівель і споруд (присадибна ділянка) </w:t>
      </w:r>
      <w:r w:rsidR="001B4A73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02119" w:rsidRPr="00347681">
        <w:rPr>
          <w:rFonts w:ascii="Times New Roman" w:eastAsia="Times New Roman" w:hAnsi="Times New Roman" w:cs="Times New Roman"/>
          <w:sz w:val="28"/>
          <w:szCs w:val="28"/>
        </w:rPr>
        <w:t>пров.</w:t>
      </w:r>
      <w:r w:rsidR="0000211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Михайла Артеменка, 67А (</w:t>
      </w:r>
      <w:proofErr w:type="spellStart"/>
      <w:r w:rsidR="0000211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00211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. Нахімова)</w:t>
      </w:r>
      <w:r w:rsidR="00002119" w:rsidRPr="00347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11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02119" w:rsidRPr="00347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11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02119" w:rsidRPr="00347681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002119" w:rsidRPr="00347681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висновок департаменту архітектури та містобудування Миколаївської міської ради від </w:t>
      </w:r>
      <w:r w:rsidR="0000211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.10.2024 № </w:t>
      </w:r>
      <w:r w:rsidR="0000211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41900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8/24-2.</w:t>
      </w:r>
    </w:p>
    <w:p w14:paraId="58F50F5B" w14:textId="77777777" w:rsidR="00003600" w:rsidRPr="00347681" w:rsidRDefault="00003600" w:rsidP="0026649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3"/>
    <w:bookmarkEnd w:id="5"/>
    <w:p w14:paraId="19886BB8" w14:textId="77777777" w:rsidR="00743510" w:rsidRPr="00743510" w:rsidRDefault="00743510" w:rsidP="0074351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</w:t>
      </w:r>
    </w:p>
    <w:p w14:paraId="219932CF" w14:textId="0F916AB4" w:rsidR="00743510" w:rsidRPr="00743510" w:rsidRDefault="00743510" w:rsidP="0074351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ч. 1 ст. 118, підпункт 5 пункту 27 розділу X «ПЕРЕХІДНІ ПОЛОЖЕННЯ» Земельного кодексу України відповідно до відомостей з Єдиного державного реєстру речових прав на нерухоме майно громадянин </w:t>
      </w:r>
      <w:proofErr w:type="spellStart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Шевяков</w:t>
      </w:r>
      <w:proofErr w:type="spellEnd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Вадим Сергійович не є співвласником житлового будинку по </w:t>
      </w:r>
      <w:proofErr w:type="spellStart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Михайла Артеменка, 67А (</w:t>
      </w:r>
      <w:proofErr w:type="spellStart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Нахімова), що свідчить про неможливість передачі йому земельної ділянки (кадастровий номер 4810136600:07:087:0026) у спільну сумісну власність для будівництва та обслуговування житлового будинку, господарських будівель і споруд по </w:t>
      </w:r>
      <w:proofErr w:type="spellStart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. Михайла Артеменка, 67А (</w:t>
      </w:r>
      <w:proofErr w:type="spellStart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. Нахімова);</w:t>
      </w:r>
    </w:p>
    <w:p w14:paraId="4C5B0733" w14:textId="58B73310" w:rsidR="00003600" w:rsidRPr="00347681" w:rsidRDefault="00743510" w:rsidP="0074351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- ст. 32 Цивільного кодексу України відсутність нотаріально посвідченої згоди батьків (</w:t>
      </w:r>
      <w:proofErr w:type="spellStart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усиновлювачів</w:t>
      </w:r>
      <w:proofErr w:type="spellEnd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піклувальників) на вчинення неповнолітньою особою (</w:t>
      </w:r>
      <w:proofErr w:type="spellStart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Шевяковою</w:t>
      </w:r>
      <w:proofErr w:type="spellEnd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>Вєсною</w:t>
      </w:r>
      <w:proofErr w:type="spellEnd"/>
      <w:r w:rsidRPr="00743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Сергіївною) правочину щодо нерухомого майна (набуття права спільної сумісної власності на земельну ділянку (кадастровий номер 4810136600:07:087:0026)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E7C5A74" w14:textId="77777777" w:rsidR="00003600" w:rsidRPr="00347681" w:rsidRDefault="00003600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347681" w:rsidRDefault="00003600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476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476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4768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4768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4768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4768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476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4768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47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4768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347681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E057B9" w:rsidSect="00266490">
      <w:pgSz w:w="11905" w:h="16838"/>
      <w:pgMar w:top="1134" w:right="565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11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6D6B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1E4F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490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47681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3DE"/>
    <w:rsid w:val="00591775"/>
    <w:rsid w:val="005938E7"/>
    <w:rsid w:val="005961F4"/>
    <w:rsid w:val="00597575"/>
    <w:rsid w:val="005A1B6B"/>
    <w:rsid w:val="005B1034"/>
    <w:rsid w:val="005C24C5"/>
    <w:rsid w:val="005C3570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351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2A54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CF73DE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2355E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24AF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2356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cp:lastPrinted>2025-01-06T13:21:00Z</cp:lastPrinted>
  <dcterms:created xsi:type="dcterms:W3CDTF">2025-01-08T14:49:00Z</dcterms:created>
  <dcterms:modified xsi:type="dcterms:W3CDTF">2025-01-24T14:09:00Z</dcterms:modified>
</cp:coreProperties>
</file>